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/>
      </w:tblPr>
      <w:tblGrid>
        <w:gridCol w:w="2254"/>
        <w:gridCol w:w="6746"/>
      </w:tblGrid>
      <w:tr w:rsidR="0013265D"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3265D" w:rsidRDefault="007908DD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13265D" w:rsidRDefault="007908DD">
            <w:pPr>
              <w:spacing w:after="0" w:line="240" w:lineRule="auto"/>
            </w:pPr>
            <w:r>
              <w:t>31593</w:t>
            </w:r>
          </w:p>
        </w:tc>
      </w:tr>
      <w:tr w:rsidR="0013265D"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3265D" w:rsidRDefault="007908DD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13265D" w:rsidRDefault="007908DD">
            <w:pPr>
              <w:spacing w:after="0" w:line="240" w:lineRule="auto"/>
            </w:pPr>
            <w:r>
              <w:t>DJEČJI VRTIĆ RADOST LUDBREG</w:t>
            </w:r>
          </w:p>
        </w:tc>
      </w:tr>
      <w:tr w:rsidR="0013265D"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13265D" w:rsidRDefault="007908DD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13265D" w:rsidRDefault="007908DD">
            <w:pPr>
              <w:spacing w:after="0" w:line="240" w:lineRule="auto"/>
            </w:pPr>
            <w:r>
              <w:t>21</w:t>
            </w:r>
          </w:p>
        </w:tc>
      </w:tr>
    </w:tbl>
    <w:p w:rsidR="0013265D" w:rsidRDefault="007908DD">
      <w:r>
        <w:br/>
      </w:r>
    </w:p>
    <w:p w:rsidR="0013265D" w:rsidRDefault="007908DD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13265D" w:rsidRDefault="007908DD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13265D" w:rsidRDefault="007908DD">
      <w:pPr>
        <w:spacing w:line="240" w:lineRule="auto"/>
        <w:jc w:val="center"/>
      </w:pPr>
      <w:r>
        <w:rPr>
          <w:b/>
          <w:sz w:val="28"/>
        </w:rPr>
        <w:t>I - VI 2025.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434.284,84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599.815,90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138,1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430.971,20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701.332,27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162,7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1326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101.516,37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2.959,63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1.709,18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57,7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1326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2.959,63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1.709,18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57,7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1326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1326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103.225,55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DV Radost Ludbreg ima 41 zaposlenika i 190 djece polaznika, te je proračunski korisnik Grada Ludbrega. Ukupni prihodi DV Radost Ludbreg ostvareni u razdoblju od 01.01.-30.06.2025.god., iznosili su 599.815,90€, odnosno 138,1% ili 165.531,06 € više, nego pre</w:t>
      </w:r>
      <w:r>
        <w:t>thodne 2024.god., u istom obračunskom razdoblju. Na rast prihoda u navedenom razdoblju najvećim je dijelom utjecalo povećanje prihoda iz nadležnog proračuna za financiranje redovne djelatnosti. Ukupni rashodi su iznosili 701.332,27€ što je za 162,7% ili 27</w:t>
      </w:r>
      <w:r>
        <w:t xml:space="preserve">0.361,07€ više rashoda nego prošle godine. Rashodi su  veći zbog plaća zaposlenika (temeljem </w:t>
      </w:r>
      <w:r>
        <w:lastRenderedPageBreak/>
        <w:t>Kolektivnog ugovora), ostalih rashoda za zaposlene, ekonomskih troškova-energenata, mat. rashoda, uredski materijal, materijal i sirovine, kamata i poskupljenja ba</w:t>
      </w:r>
      <w:r>
        <w:t>nkarskih usluga, dok su rashodi za nabavu nefinancijske imovine iznosili 1.709,18€ što je za 57,7% ili 1.250,45 € manje nego prošle godine. Sukladno financijskom planu za 2025.godinu. Ostvaren je manjak prihoda u iznosu od 103.225,55€. Preneseni višak izno</w:t>
      </w:r>
      <w:r>
        <w:t>si 339,24 €, tako da se u slijedeće razdoblje prenosi manjak u iznosu od 102.886,31 €.</w:t>
      </w:r>
    </w:p>
    <w:p w:rsidR="0013265D" w:rsidRDefault="007908DD">
      <w:r>
        <w:br/>
      </w:r>
    </w:p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434.284,84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599.815,90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138,1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Na rast prihoda poslovanja utjecalo je povećanje prihoda iz nadležnog proračuna za financiranje redovne djelatnosti, a u manjem dijelu povećanje prihoda od uplate  korisnika</w:t>
      </w:r>
      <w:r>
        <w:t xml:space="preserve"> i prihoda pruženih usluga.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proračunskim korisnicima iz proračuna koji im nije </w:t>
            </w:r>
            <w:r>
              <w:rPr>
                <w:sz w:val="18"/>
              </w:rPr>
              <w:t>nadležan (šifre 6361+6362)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3.348,17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5.700,00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170,2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Povećan broj polaznika djece drugih Općina- sufinanciranje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87.301,48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92.787,33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106,3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Na rast prihoda po posebnim propisima utjecalo je povećanje ostalih nespomenutih prihoda, uplata korisnika.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 (šifre 6614+6615)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5.592,74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Povećanje prihoda od </w:t>
      </w:r>
      <w:r>
        <w:t>pruženih usluga-Stručno razvojni centar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iz nadležnog proračuna za financiranje </w:t>
            </w:r>
            <w:r>
              <w:rPr>
                <w:sz w:val="18"/>
              </w:rPr>
              <w:t>redovne djelatnosti proračunskih korisnika (šifre 6711 do 6714)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343.635,19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495.731,14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144,3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Uvećanje prihoda iz nadležnog proračuna, Grada Ludbrega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430.971,20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701.332,27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162,7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Na rast rashoda poslovanja utjecalo je povećanje plaća zaposlenika, doprinosa na plaće, ostali rashodi za </w:t>
      </w:r>
      <w:r>
        <w:t>zaposlene, rashodi za ekonomske troškove.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Plaće (bruto) 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259.442,48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467.581,66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180,2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Na rast rashoda su utjecali: povećanje osnovice za izračun plaće i veći broj zaposlenih.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lastRenderedPageBreak/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</w:t>
            </w:r>
            <w:r>
              <w:rPr>
                <w:b/>
                <w:sz w:val="18"/>
              </w:rPr>
              <w:t xml:space="preserve">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47.022,24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68.085,82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144,8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Na rast/razliku ostalih rashoda za zaposlene utjecali su-regres, nagrade i bonus za uspješan rad, smrtni slučaj.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43.209,83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77.151,05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178,5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Na rast je utjecalo uvećanje doprinosa za obvezno zdravstveno </w:t>
      </w:r>
      <w:r>
        <w:t>osiguranje.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15.884,69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17.054,66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107,4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Rast rashoda  za naknade troškove zaposlenima se odnose na uvećanje rashoda za naknadu za prijevoz i stručno usavršavanje zaposlenika, dok su smanjeni troškovi službenih putovanja.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46.101,52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55.259,50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119,9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Na rast rashoda utjecalo je uvećanje rashoda za materijal i </w:t>
      </w:r>
      <w:r>
        <w:t>sirovine, energiju, materijal i dijelove za tekuće i investicijsko održavanje i sitni inventar, dok je bilo smanjenje za uredski materijal i ostale materijalne rashode.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16.571,27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11.469,28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69,2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Na pad rashoda za usluge utjecalo je umanjenje rashoda za usluge tek i inv</w:t>
      </w:r>
      <w:r>
        <w:t>. održavanja, usluge promidžbe i informiranja, komunalne usluge, zdrav. i vet. usluge, računalne usluge, a uvećanje je bilo za usluge telefona, intelektualne i osobne usluge.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762,77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3.800,19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498,2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Na uvećanje usluga rashoda za ostale nespomenute rashode poslovanja utjecalo </w:t>
      </w:r>
      <w:r>
        <w:t>je uvećanje naknada za rad predstavničkih tijela, povjerenstva i slično, premije osiguranja, reprezentacija i pristojbe i naknade.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za primljene kredite i zajmove (šifre 3421 do 3428)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1.392,49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141,45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10,2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Na umanjenje rashoda za kamate primljene kredite i zajmove, utjecalo je umanjenje kamata za primljene kredite i </w:t>
      </w:r>
      <w:r>
        <w:t>zajmove od kreditnih i ostalih financijskih institucija izvan javnog sektora (nekorištenje dozvoljenog minusa)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</w:t>
            </w:r>
            <w:r>
              <w:rPr>
                <w:b/>
                <w:sz w:val="18"/>
              </w:rPr>
              <w:t xml:space="preserve">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financijski rashodi (šifre 3431 do 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583,91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788,66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135,1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Na uvećanje ostalih financijskih rashoda utjecalo je uvećanje bankarskih usluga i usluga platnog prometa.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lastRenderedPageBreak/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2.959,63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1.709,18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57,7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Rashodi se odnose za nabavu proizvedene dugotrajne </w:t>
      </w:r>
      <w:r>
        <w:t>imovine.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00"/>
        <w:gridCol w:w="3180"/>
        <w:gridCol w:w="700"/>
        <w:gridCol w:w="1860"/>
        <w:gridCol w:w="1860"/>
        <w:gridCol w:w="700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2.959,63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1.709,18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57,7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>Umanjenje rashoda za uređaje, strojeve i opremu za ostale namjene i opremu za održavanje i zaštitu.</w:t>
      </w:r>
    </w:p>
    <w:p w:rsidR="0013265D" w:rsidRDefault="0013265D"/>
    <w:p w:rsidR="0013265D" w:rsidRDefault="007908DD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13265D" w:rsidRDefault="007908DD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883"/>
        <w:gridCol w:w="4008"/>
        <w:gridCol w:w="882"/>
        <w:gridCol w:w="2345"/>
        <w:gridCol w:w="882"/>
      </w:tblGrid>
      <w:tr w:rsidR="0013265D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13265D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13265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dospjelih obveza na kraju izvještajnog razdoblja (šifre </w:t>
            </w:r>
            <w:r>
              <w:rPr>
                <w:sz w:val="18"/>
              </w:rPr>
              <w:t>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13265D" w:rsidRDefault="007908DD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13265D" w:rsidRDefault="0013265D">
      <w:pPr>
        <w:spacing w:after="0"/>
      </w:pPr>
    </w:p>
    <w:p w:rsidR="0013265D" w:rsidRDefault="007908DD">
      <w:pPr>
        <w:spacing w:line="240" w:lineRule="auto"/>
        <w:jc w:val="both"/>
      </w:pPr>
      <w:r>
        <w:t xml:space="preserve">Povećanje obveza u izvještajnom razdoblju sastoji se od rashoda poslovanja i obveza za nabavu nefinancijske imovine. Na kraju izvještajnog razdoblja 30.06.2025.godine, stanje obveza iznosi 108.926,08€. </w:t>
      </w:r>
      <w:r>
        <w:t>Dospjelih obveza na kraju izvještajnog razdoblja nema, jer su podmirene u roku dospijeća, dok iznos nedospjelih obveza u iznosu od 108.926,28 € odnose se na plaću za 6.mj 2025. i obveze za podmirenje ekonomskih troškova, te nisu u dospijeću.  Sukladno fina</w:t>
      </w:r>
      <w:r>
        <w:t>ncijskom planu za 2025.godinu.</w:t>
      </w:r>
    </w:p>
    <w:p w:rsidR="0013265D" w:rsidRDefault="0013265D"/>
    <w:sectPr w:rsidR="0013265D" w:rsidSect="00684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13265D"/>
    <w:rsid w:val="0013265D"/>
    <w:rsid w:val="00613431"/>
    <w:rsid w:val="00684ED6"/>
    <w:rsid w:val="007908DD"/>
    <w:rsid w:val="00CB6A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ED6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1427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Radost</dc:creator>
  <cp:lastModifiedBy>radost</cp:lastModifiedBy>
  <cp:revision>2</cp:revision>
  <dcterms:created xsi:type="dcterms:W3CDTF">2025-08-25T11:59:00Z</dcterms:created>
  <dcterms:modified xsi:type="dcterms:W3CDTF">2025-08-25T11:59:00Z</dcterms:modified>
</cp:coreProperties>
</file>